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61EB" w14:textId="17F904EB" w:rsidR="00FD15D0" w:rsidRPr="00C0002F" w:rsidRDefault="00FD15D0" w:rsidP="00C0002F">
      <w:pPr>
        <w:pStyle w:val="BodyText"/>
        <w:ind w:left="1986"/>
        <w:jc w:val="right"/>
        <w:rPr>
          <w:rFonts w:ascii="Times New Roman"/>
          <w:sz w:val="20"/>
        </w:rPr>
      </w:pPr>
    </w:p>
    <w:p w14:paraId="2BB4ADB3" w14:textId="473E6AAF" w:rsidR="00C0002F" w:rsidRDefault="00FE16B8" w:rsidP="00C0002F">
      <w:pPr>
        <w:spacing w:before="100"/>
        <w:ind w:left="446" w:right="706"/>
        <w:contextualSpacing/>
        <w:jc w:val="center"/>
        <w:rPr>
          <w:rFonts w:ascii="Arial Black"/>
          <w:sz w:val="44"/>
          <w:szCs w:val="44"/>
        </w:rPr>
      </w:pPr>
      <w:r>
        <w:rPr>
          <w:rFonts w:ascii="Times New Roman"/>
          <w:noProof/>
          <w:sz w:val="20"/>
        </w:rPr>
        <w:drawing>
          <wp:anchor distT="0" distB="0" distL="114300" distR="114300" simplePos="0" relativeHeight="251658240" behindDoc="1" locked="0" layoutInCell="1" allowOverlap="1" wp14:anchorId="75CE4F3B" wp14:editId="26B704E9">
            <wp:simplePos x="0" y="0"/>
            <wp:positionH relativeFrom="column">
              <wp:posOffset>4892675</wp:posOffset>
            </wp:positionH>
            <wp:positionV relativeFrom="paragraph">
              <wp:posOffset>123825</wp:posOffset>
            </wp:positionV>
            <wp:extent cx="1648804" cy="1635471"/>
            <wp:effectExtent l="0" t="0" r="8890" b="317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71" cy="1637719"/>
                    </a:xfrm>
                    <a:prstGeom prst="rect">
                      <a:avLst/>
                    </a:prstGeom>
                  </pic:spPr>
                </pic:pic>
              </a:graphicData>
            </a:graphic>
            <wp14:sizeRelH relativeFrom="margin">
              <wp14:pctWidth>0</wp14:pctWidth>
            </wp14:sizeRelH>
            <wp14:sizeRelV relativeFrom="margin">
              <wp14:pctHeight>0</wp14:pctHeight>
            </wp14:sizeRelV>
          </wp:anchor>
        </w:drawing>
      </w:r>
    </w:p>
    <w:p w14:paraId="20B209FB" w14:textId="77777777" w:rsidR="00C0002F" w:rsidRDefault="00C0002F" w:rsidP="00C0002F">
      <w:pPr>
        <w:spacing w:before="100"/>
        <w:ind w:left="446" w:right="706"/>
        <w:contextualSpacing/>
        <w:jc w:val="center"/>
        <w:rPr>
          <w:rFonts w:ascii="Arial Black"/>
          <w:sz w:val="44"/>
          <w:szCs w:val="44"/>
        </w:rPr>
      </w:pPr>
    </w:p>
    <w:p w14:paraId="4C335298" w14:textId="77777777" w:rsidR="00C0002F" w:rsidRDefault="00C0002F" w:rsidP="00F041BC">
      <w:pPr>
        <w:spacing w:before="100"/>
        <w:ind w:left="446" w:right="706"/>
        <w:contextualSpacing/>
        <w:rPr>
          <w:rFonts w:ascii="Arial Black"/>
          <w:sz w:val="28"/>
          <w:szCs w:val="28"/>
        </w:rPr>
      </w:pPr>
    </w:p>
    <w:p w14:paraId="203DB07F" w14:textId="77777777" w:rsidR="00F041BC" w:rsidRDefault="00F041BC" w:rsidP="00F041BC">
      <w:pPr>
        <w:spacing w:before="100"/>
        <w:ind w:left="446" w:right="706"/>
        <w:contextualSpacing/>
        <w:rPr>
          <w:rFonts w:ascii="Arial Black"/>
          <w:sz w:val="28"/>
          <w:szCs w:val="28"/>
        </w:rPr>
      </w:pPr>
    </w:p>
    <w:p w14:paraId="5853661E" w14:textId="77777777" w:rsidR="00F041BC" w:rsidRDefault="00F041BC" w:rsidP="00F041BC">
      <w:pPr>
        <w:spacing w:before="100"/>
        <w:ind w:left="446" w:right="706"/>
        <w:contextualSpacing/>
        <w:rPr>
          <w:rFonts w:ascii="Arial Black"/>
          <w:sz w:val="28"/>
          <w:szCs w:val="28"/>
        </w:rPr>
      </w:pPr>
    </w:p>
    <w:p w14:paraId="0B8298FD" w14:textId="77777777" w:rsidR="00F041BC" w:rsidRDefault="00F041BC" w:rsidP="00F041BC">
      <w:pPr>
        <w:spacing w:before="100"/>
        <w:ind w:left="446" w:right="706"/>
        <w:contextualSpacing/>
        <w:rPr>
          <w:rFonts w:ascii="Arial Black"/>
          <w:sz w:val="28"/>
          <w:szCs w:val="28"/>
        </w:rPr>
      </w:pPr>
    </w:p>
    <w:p w14:paraId="5B2C4D08" w14:textId="77777777" w:rsidR="00F041BC" w:rsidRDefault="00F041BC" w:rsidP="00F041BC">
      <w:pPr>
        <w:spacing w:before="100"/>
        <w:ind w:left="446" w:right="706"/>
        <w:contextualSpacing/>
        <w:rPr>
          <w:sz w:val="24"/>
          <w:szCs w:val="24"/>
        </w:rPr>
      </w:pPr>
    </w:p>
    <w:p w14:paraId="6910988F" w14:textId="77777777" w:rsidR="00C25CAE" w:rsidRDefault="00C25CAE" w:rsidP="00F041BC">
      <w:pPr>
        <w:spacing w:before="100"/>
        <w:ind w:left="446" w:right="706"/>
        <w:contextualSpacing/>
        <w:rPr>
          <w:sz w:val="24"/>
          <w:szCs w:val="24"/>
        </w:rPr>
      </w:pPr>
    </w:p>
    <w:p w14:paraId="5B42A866" w14:textId="77777777" w:rsidR="00E75924" w:rsidRDefault="00E75924" w:rsidP="00C25CAE">
      <w:pPr>
        <w:spacing w:before="100"/>
        <w:ind w:right="-130"/>
        <w:contextualSpacing/>
        <w:rPr>
          <w:b/>
          <w:bCs/>
          <w:sz w:val="24"/>
          <w:szCs w:val="24"/>
        </w:rPr>
      </w:pPr>
    </w:p>
    <w:p w14:paraId="5866B2A1" w14:textId="77777777" w:rsidR="00E75924" w:rsidRDefault="00E75924" w:rsidP="00C25CAE">
      <w:pPr>
        <w:spacing w:before="100"/>
        <w:ind w:right="-130"/>
        <w:contextualSpacing/>
        <w:rPr>
          <w:b/>
          <w:bCs/>
          <w:sz w:val="24"/>
          <w:szCs w:val="24"/>
        </w:rPr>
      </w:pPr>
    </w:p>
    <w:p w14:paraId="343450E0" w14:textId="27433576" w:rsidR="00C25CAE" w:rsidRDefault="00C25CAE" w:rsidP="00C25CAE">
      <w:pPr>
        <w:spacing w:before="100"/>
        <w:ind w:right="-130"/>
        <w:contextualSpacing/>
        <w:rPr>
          <w:b/>
          <w:bCs/>
          <w:sz w:val="24"/>
          <w:szCs w:val="24"/>
        </w:rPr>
      </w:pPr>
      <w:r w:rsidRPr="00C25CAE">
        <w:rPr>
          <w:b/>
          <w:bCs/>
          <w:sz w:val="24"/>
          <w:szCs w:val="24"/>
        </w:rPr>
        <w:t>Notice of Budget Committee Meeting and Public Hearing on State Revenue Sharing</w:t>
      </w:r>
    </w:p>
    <w:p w14:paraId="144467B3" w14:textId="77777777" w:rsidR="00C25CAE" w:rsidRDefault="00C25CAE" w:rsidP="00C25CAE">
      <w:pPr>
        <w:spacing w:before="100"/>
        <w:ind w:right="-130"/>
        <w:contextualSpacing/>
        <w:rPr>
          <w:b/>
          <w:bCs/>
          <w:sz w:val="24"/>
          <w:szCs w:val="24"/>
        </w:rPr>
      </w:pPr>
    </w:p>
    <w:p w14:paraId="124944AC" w14:textId="07DB5774" w:rsidR="00C25CAE" w:rsidRDefault="00C25CAE" w:rsidP="00C25CAE">
      <w:pPr>
        <w:spacing w:before="100"/>
        <w:ind w:right="-130"/>
        <w:contextualSpacing/>
        <w:rPr>
          <w:sz w:val="24"/>
          <w:szCs w:val="24"/>
        </w:rPr>
      </w:pPr>
      <w:r>
        <w:rPr>
          <w:sz w:val="24"/>
          <w:szCs w:val="24"/>
        </w:rPr>
        <w:t xml:space="preserve">A public meeting of the Budget Committee of the City of Gold Hill, Jackson County, Oregon, to discuss </w:t>
      </w:r>
      <w:r w:rsidR="00E75924">
        <w:rPr>
          <w:sz w:val="24"/>
          <w:szCs w:val="24"/>
        </w:rPr>
        <w:t>the</w:t>
      </w:r>
      <w:r>
        <w:rPr>
          <w:sz w:val="24"/>
          <w:szCs w:val="24"/>
        </w:rPr>
        <w:t xml:space="preserve"> budget for the fiscal year July 1, </w:t>
      </w:r>
      <w:r w:rsidR="00E75924">
        <w:rPr>
          <w:sz w:val="24"/>
          <w:szCs w:val="24"/>
        </w:rPr>
        <w:t>2023,</w:t>
      </w:r>
      <w:r>
        <w:rPr>
          <w:sz w:val="24"/>
          <w:szCs w:val="24"/>
        </w:rPr>
        <w:t xml:space="preserve"> to June 30, 2024</w:t>
      </w:r>
      <w:r w:rsidR="00E75924">
        <w:rPr>
          <w:sz w:val="24"/>
          <w:szCs w:val="24"/>
        </w:rPr>
        <w:t>.  The meeting</w:t>
      </w:r>
      <w:r>
        <w:rPr>
          <w:sz w:val="24"/>
          <w:szCs w:val="24"/>
        </w:rPr>
        <w:t xml:space="preserve"> will be held at the Gold Hill City Hall, 420 6</w:t>
      </w:r>
      <w:r w:rsidRPr="00C25CAE">
        <w:rPr>
          <w:sz w:val="24"/>
          <w:szCs w:val="24"/>
          <w:vertAlign w:val="superscript"/>
        </w:rPr>
        <w:t>th</w:t>
      </w:r>
      <w:r>
        <w:rPr>
          <w:sz w:val="24"/>
          <w:szCs w:val="24"/>
        </w:rPr>
        <w:t xml:space="preserve"> Ave on June 5, </w:t>
      </w:r>
      <w:r w:rsidR="00E75924">
        <w:rPr>
          <w:sz w:val="24"/>
          <w:szCs w:val="24"/>
        </w:rPr>
        <w:t>2023,</w:t>
      </w:r>
      <w:r>
        <w:rPr>
          <w:sz w:val="24"/>
          <w:szCs w:val="24"/>
        </w:rPr>
        <w:t xml:space="preserve"> at 6:00 PM.  </w:t>
      </w:r>
    </w:p>
    <w:p w14:paraId="5F826984" w14:textId="77777777" w:rsidR="00C25CAE" w:rsidRDefault="00C25CAE" w:rsidP="00C25CAE">
      <w:pPr>
        <w:spacing w:before="100"/>
        <w:ind w:right="-130"/>
        <w:contextualSpacing/>
        <w:rPr>
          <w:sz w:val="24"/>
          <w:szCs w:val="24"/>
        </w:rPr>
      </w:pPr>
    </w:p>
    <w:p w14:paraId="7F6CD7BD" w14:textId="2B40C9FD" w:rsidR="00C25CAE" w:rsidRDefault="00E75924" w:rsidP="00C25CAE">
      <w:pPr>
        <w:spacing w:before="100"/>
        <w:ind w:right="-130"/>
        <w:contextualSpacing/>
        <w:rPr>
          <w:sz w:val="24"/>
          <w:szCs w:val="24"/>
        </w:rPr>
      </w:pPr>
      <w:r>
        <w:rPr>
          <w:sz w:val="24"/>
          <w:szCs w:val="24"/>
        </w:rPr>
        <w:t>The purpose of the meeting is for the Budget Committee to hear presentations on the proposed budget including the proposed tax rate.  The budget committee is a fiscal advisory group to the Council.  Oregon budget law establishes the budget committee and its functions beginning with ORS 294.414.</w:t>
      </w:r>
    </w:p>
    <w:p w14:paraId="6D7E4141" w14:textId="77777777" w:rsidR="00C25CAE" w:rsidRDefault="00C25CAE" w:rsidP="00C25CAE">
      <w:pPr>
        <w:spacing w:before="100"/>
        <w:ind w:right="-130"/>
        <w:contextualSpacing/>
        <w:rPr>
          <w:sz w:val="24"/>
          <w:szCs w:val="24"/>
        </w:rPr>
      </w:pPr>
    </w:p>
    <w:p w14:paraId="71C62E2F" w14:textId="7CD2692E" w:rsidR="00E75924" w:rsidRDefault="00E75924" w:rsidP="00C25CAE">
      <w:pPr>
        <w:spacing w:before="100"/>
        <w:ind w:right="-130"/>
        <w:contextualSpacing/>
        <w:rPr>
          <w:sz w:val="24"/>
          <w:szCs w:val="24"/>
        </w:rPr>
      </w:pPr>
      <w:r>
        <w:rPr>
          <w:sz w:val="24"/>
          <w:szCs w:val="24"/>
        </w:rPr>
        <w:t xml:space="preserve">This is a public meeting where deliberation of the Budget Committee will take place.  Any person may appear at the meeting to discuss the proposed programs with the budget committee.  Written testimony will be accepted for this meeting’s agenda via email to </w:t>
      </w:r>
      <w:hyperlink r:id="rId11" w:history="1">
        <w:r w:rsidRPr="00A1535F">
          <w:rPr>
            <w:rStyle w:val="Hyperlink"/>
            <w:sz w:val="24"/>
            <w:szCs w:val="24"/>
          </w:rPr>
          <w:t>info@cityofgoldhill.com</w:t>
        </w:r>
      </w:hyperlink>
      <w:r>
        <w:rPr>
          <w:sz w:val="24"/>
          <w:szCs w:val="24"/>
        </w:rPr>
        <w:t xml:space="preserve"> by Monday, June 5 at 12:00 PM.  Written testimony received by the deadline will be available to the Budget Committee before the meeting and will be included in the meeting minutes.  </w:t>
      </w:r>
      <w:r>
        <w:rPr>
          <w:sz w:val="24"/>
          <w:szCs w:val="24"/>
        </w:rPr>
        <w:t>Oral testimony will be accepted at the meeting</w:t>
      </w:r>
      <w:r>
        <w:rPr>
          <w:sz w:val="24"/>
          <w:szCs w:val="24"/>
        </w:rPr>
        <w:t>.</w:t>
      </w:r>
    </w:p>
    <w:p w14:paraId="12A262DD" w14:textId="77777777" w:rsidR="00E75924" w:rsidRDefault="00E75924" w:rsidP="00C25CAE">
      <w:pPr>
        <w:spacing w:before="100"/>
        <w:ind w:right="-130"/>
        <w:contextualSpacing/>
        <w:rPr>
          <w:sz w:val="24"/>
          <w:szCs w:val="24"/>
        </w:rPr>
      </w:pPr>
    </w:p>
    <w:p w14:paraId="688B9692" w14:textId="3BE51714" w:rsidR="00E75924" w:rsidRDefault="00E75924" w:rsidP="00C25CAE">
      <w:pPr>
        <w:spacing w:before="100"/>
        <w:ind w:right="-130"/>
        <w:contextualSpacing/>
        <w:rPr>
          <w:sz w:val="24"/>
          <w:szCs w:val="24"/>
        </w:rPr>
      </w:pPr>
      <w:r>
        <w:rPr>
          <w:sz w:val="24"/>
          <w:szCs w:val="24"/>
        </w:rPr>
        <w:t>Once scheduled budget presentations have concluded, a public hearing will be held giving citizens another opportunity to discuss proposed programs and funding.</w:t>
      </w:r>
    </w:p>
    <w:p w14:paraId="5EEE10DB" w14:textId="77777777" w:rsidR="00E75924" w:rsidRDefault="00E75924" w:rsidP="00C25CAE">
      <w:pPr>
        <w:spacing w:before="100"/>
        <w:ind w:right="-130"/>
        <w:contextualSpacing/>
        <w:rPr>
          <w:sz w:val="24"/>
          <w:szCs w:val="24"/>
        </w:rPr>
      </w:pPr>
    </w:p>
    <w:p w14:paraId="19EBCA5B" w14:textId="66C709DE" w:rsidR="00C25CAE" w:rsidRDefault="00C25CAE" w:rsidP="00C25CAE">
      <w:pPr>
        <w:spacing w:before="100"/>
        <w:ind w:right="-130"/>
        <w:contextualSpacing/>
        <w:rPr>
          <w:sz w:val="24"/>
          <w:szCs w:val="24"/>
        </w:rPr>
      </w:pPr>
      <w:r>
        <w:rPr>
          <w:sz w:val="24"/>
          <w:szCs w:val="24"/>
        </w:rPr>
        <w:t xml:space="preserve">The Budget can be accessed at </w:t>
      </w:r>
      <w:hyperlink r:id="rId12" w:history="1">
        <w:r w:rsidRPr="00A1535F">
          <w:rPr>
            <w:rStyle w:val="Hyperlink"/>
            <w:sz w:val="24"/>
            <w:szCs w:val="24"/>
          </w:rPr>
          <w:t>www.cityofgoldhill.com</w:t>
        </w:r>
      </w:hyperlink>
      <w:r>
        <w:rPr>
          <w:sz w:val="24"/>
          <w:szCs w:val="24"/>
        </w:rPr>
        <w:t xml:space="preserve"> after June 5, </w:t>
      </w:r>
      <w:proofErr w:type="gramStart"/>
      <w:r>
        <w:rPr>
          <w:sz w:val="24"/>
          <w:szCs w:val="24"/>
        </w:rPr>
        <w:t>2023</w:t>
      </w:r>
      <w:proofErr w:type="gramEnd"/>
      <w:r>
        <w:rPr>
          <w:sz w:val="24"/>
          <w:szCs w:val="24"/>
        </w:rPr>
        <w:t xml:space="preserve"> or at the Gold Hill City Hall Monday through Thursday from 9:00 AM to 4:00 PM.</w:t>
      </w:r>
    </w:p>
    <w:p w14:paraId="6EF03716" w14:textId="77777777" w:rsidR="00E75924" w:rsidRDefault="00E75924" w:rsidP="00C25CAE">
      <w:pPr>
        <w:spacing w:before="100"/>
        <w:ind w:right="-130"/>
        <w:contextualSpacing/>
        <w:rPr>
          <w:sz w:val="24"/>
          <w:szCs w:val="24"/>
        </w:rPr>
      </w:pPr>
    </w:p>
    <w:p w14:paraId="5578B230" w14:textId="3B221B0C" w:rsidR="00E75924" w:rsidRDefault="00E75924" w:rsidP="00C25CAE">
      <w:pPr>
        <w:spacing w:before="100"/>
        <w:ind w:right="-130"/>
        <w:contextualSpacing/>
        <w:rPr>
          <w:sz w:val="24"/>
          <w:szCs w:val="24"/>
        </w:rPr>
      </w:pPr>
      <w:r>
        <w:rPr>
          <w:sz w:val="24"/>
          <w:szCs w:val="24"/>
        </w:rPr>
        <w:t xml:space="preserve">This </w:t>
      </w:r>
      <w:proofErr w:type="spellStart"/>
      <w:r>
        <w:rPr>
          <w:sz w:val="24"/>
          <w:szCs w:val="24"/>
        </w:rPr>
        <w:t>notic</w:t>
      </w:r>
      <w:proofErr w:type="spellEnd"/>
      <w:r>
        <w:rPr>
          <w:sz w:val="24"/>
          <w:szCs w:val="24"/>
        </w:rPr>
        <w:t xml:space="preserve"> is also posted on the City of Gold Hill website at </w:t>
      </w:r>
      <w:proofErr w:type="gramStart"/>
      <w:r>
        <w:rPr>
          <w:sz w:val="24"/>
          <w:szCs w:val="24"/>
        </w:rPr>
        <w:t>www.cityofgoldhill.com</w:t>
      </w:r>
      <w:proofErr w:type="gramEnd"/>
    </w:p>
    <w:p w14:paraId="186D6951" w14:textId="77777777" w:rsidR="00E75924" w:rsidRDefault="00E75924" w:rsidP="00C25CAE">
      <w:pPr>
        <w:spacing w:before="100"/>
        <w:ind w:right="-130"/>
        <w:contextualSpacing/>
        <w:rPr>
          <w:sz w:val="24"/>
          <w:szCs w:val="24"/>
        </w:rPr>
      </w:pPr>
    </w:p>
    <w:p w14:paraId="6ED2D9AC" w14:textId="266263CB" w:rsidR="00E75924" w:rsidRPr="00C25CAE" w:rsidRDefault="00E75924" w:rsidP="00C25CAE">
      <w:pPr>
        <w:spacing w:before="100"/>
        <w:ind w:right="-130"/>
        <w:contextualSpacing/>
        <w:rPr>
          <w:sz w:val="24"/>
          <w:szCs w:val="24"/>
        </w:rPr>
      </w:pPr>
      <w:r>
        <w:rPr>
          <w:color w:val="000000"/>
          <w:sz w:val="21"/>
          <w:szCs w:val="21"/>
          <w:shd w:val="clear" w:color="auto" w:fill="FFFFFF"/>
        </w:rPr>
        <w:t>In compliance with the Americans with Disabilities Act, if you need special assistance to participate in this meeting, please contact the City Administrator’s office at (541) 488-6002 (TTY phone number 1-800-735-2900).  Notification 72 hours prior to the meeting will enable the City to make reasonable arrangements to ensure accessibility to the meeting (28 CFR 35.102-35.104 ADA Title 1).</w:t>
      </w:r>
    </w:p>
    <w:sectPr w:rsidR="00E75924" w:rsidRPr="00C25CAE" w:rsidSect="00FD15D0">
      <w:footerReference w:type="default" r:id="rId13"/>
      <w:type w:val="continuous"/>
      <w:pgSz w:w="12240" w:h="15840"/>
      <w:pgMar w:top="640" w:right="1400" w:bottom="1260" w:left="1340" w:header="72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2AC2" w14:textId="77777777" w:rsidR="00913419" w:rsidRDefault="00913419" w:rsidP="00FD15D0">
      <w:r>
        <w:separator/>
      </w:r>
    </w:p>
  </w:endnote>
  <w:endnote w:type="continuationSeparator" w:id="0">
    <w:p w14:paraId="212B1D22" w14:textId="77777777" w:rsidR="00913419" w:rsidRDefault="00913419" w:rsidP="00FD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014" w14:textId="77777777" w:rsidR="00FD15D0" w:rsidRDefault="00FD15D0" w:rsidP="00FD15D0">
    <w:pPr>
      <w:overflowPunct w:val="0"/>
      <w:adjustRightInd w:val="0"/>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38D7CA32" wp14:editId="4974C3E5">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D155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" strokecolor="#4579b8 [3044]"/>
          </w:pict>
        </mc:Fallback>
      </mc:AlternateContent>
    </w:r>
  </w:p>
  <w:p w14:paraId="5601AAB8" w14:textId="77777777" w:rsidR="00FD15D0" w:rsidRPr="00674547" w:rsidRDefault="00FD15D0" w:rsidP="00FD15D0">
    <w:pPr>
      <w:overflowPunct w:val="0"/>
      <w:adjustRightInd w:val="0"/>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proofErr w:type="gramStart"/>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proofErr w:type="gramEnd"/>
    <w:r w:rsidRPr="00674547">
      <w:rPr>
        <w:rFonts w:eastAsia="Times New Roman" w:cstheme="minorHAnsi"/>
        <w:color w:val="000000"/>
        <w:sz w:val="18"/>
        <w:szCs w:val="18"/>
      </w:rPr>
      <w:t xml:space="preserve">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18FF2B50" w14:textId="502AAAD3" w:rsidR="00FD15D0" w:rsidRPr="00674547" w:rsidRDefault="00FD15D0" w:rsidP="00FD15D0">
    <w:pPr>
      <w:spacing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1F8BF8F7" wp14:editId="57DAEE3A">
              <wp:simplePos x="0" y="0"/>
              <wp:positionH relativeFrom="page">
                <wp:posOffset>2719705</wp:posOffset>
              </wp:positionH>
              <wp:positionV relativeFrom="page">
                <wp:posOffset>11430000</wp:posOffset>
              </wp:positionV>
              <wp:extent cx="2476500" cy="895350"/>
              <wp:effectExtent l="43180" t="38100" r="4064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6EC407" w14:textId="77777777" w:rsidR="00FD15D0" w:rsidRDefault="00FD15D0" w:rsidP="00FD15D0"/>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1F8BF8F7" id="_x0000_t202" coordsize="21600,21600" o:spt="202" path="m,l,21600r21600,l21600,xe">
              <v:stroke joinstyle="miter"/>
              <v:path gradientshapeok="t" o:connecttype="rect"/>
            </v:shapetype>
            <v:shape id="Text Box 4"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406EC407" w14:textId="77777777" w:rsidR="00FD15D0" w:rsidRDefault="00FD15D0" w:rsidP="00FD15D0"/>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info@cityofgoldhill.com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102D6712" w14:textId="77777777" w:rsidR="00FD15D0" w:rsidRDefault="00FD15D0" w:rsidP="00FD15D0">
    <w:pPr>
      <w:pStyle w:val="Footer"/>
    </w:pPr>
  </w:p>
  <w:p w14:paraId="4391F18F" w14:textId="77777777" w:rsidR="00FD15D0" w:rsidRDefault="00FD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8067" w14:textId="77777777" w:rsidR="00913419" w:rsidRDefault="00913419" w:rsidP="00FD15D0">
      <w:r>
        <w:separator/>
      </w:r>
    </w:p>
  </w:footnote>
  <w:footnote w:type="continuationSeparator" w:id="0">
    <w:p w14:paraId="6F42DCF5" w14:textId="77777777" w:rsidR="00913419" w:rsidRDefault="00913419" w:rsidP="00FD1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79F8"/>
    <w:multiLevelType w:val="hybridMultilevel"/>
    <w:tmpl w:val="F560096E"/>
    <w:lvl w:ilvl="0" w:tplc="8B34D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15389"/>
    <w:multiLevelType w:val="hybridMultilevel"/>
    <w:tmpl w:val="2EC0DA8C"/>
    <w:lvl w:ilvl="0" w:tplc="C7AEFEC0">
      <w:start w:val="1"/>
      <w:numFmt w:val="decimal"/>
      <w:lvlText w:val="%1)"/>
      <w:lvlJc w:val="left"/>
      <w:pPr>
        <w:ind w:left="720" w:hanging="360"/>
      </w:pPr>
      <w:rPr>
        <w:rFonts w:ascii="Arial" w:hAnsi="Arial" w:cs="Arial" w:hint="default"/>
        <w:b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B618A6"/>
    <w:multiLevelType w:val="multilevel"/>
    <w:tmpl w:val="AB36B522"/>
    <w:lvl w:ilvl="0">
      <w:start w:val="1"/>
      <w:numFmt w:val="decimal"/>
      <w:lvlText w:val="%1."/>
      <w:lvlJc w:val="left"/>
      <w:pPr>
        <w:ind w:left="360" w:hanging="360"/>
      </w:pPr>
      <w:rPr>
        <w:rFonts w:ascii="Arial Black" w:hAnsi="Arial Black" w:hint="default"/>
        <w:b w:val="0"/>
        <w:bCs w:val="0"/>
        <w:i w:val="0"/>
        <w:iCs w:val="0"/>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decimal"/>
      <w:lvlText w:val="%3."/>
      <w:lvlJc w:val="left"/>
      <w:pPr>
        <w:ind w:left="1080" w:hanging="360"/>
      </w:pPr>
      <w:rPr>
        <w:rFonts w:ascii="Arial" w:hAnsi="Arial" w:cs="Arial"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 w15:restartNumberingAfterBreak="0">
    <w:nsid w:val="780E7029"/>
    <w:multiLevelType w:val="multilevel"/>
    <w:tmpl w:val="9C0637C8"/>
    <w:lvl w:ilvl="0">
      <w:start w:val="1"/>
      <w:numFmt w:val="decimal"/>
      <w:lvlText w:val="%1)"/>
      <w:lvlJc w:val="left"/>
      <w:pPr>
        <w:ind w:left="360" w:hanging="360"/>
      </w:pPr>
      <w:rPr>
        <w:rFonts w:hint="default"/>
        <w:b w:val="0"/>
        <w:bCs w:val="0"/>
        <w:i w:val="0"/>
        <w:iCs w:val="0"/>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decimal"/>
      <w:lvlText w:val="%3."/>
      <w:lvlJc w:val="left"/>
      <w:pPr>
        <w:ind w:left="1080" w:hanging="360"/>
      </w:pPr>
      <w:rPr>
        <w:rFonts w:ascii="Garamond" w:hAnsi="Garamond" w:cs="Times New Roman" w:hint="default"/>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4" w15:restartNumberingAfterBreak="0">
    <w:nsid w:val="79F46525"/>
    <w:multiLevelType w:val="hybridMultilevel"/>
    <w:tmpl w:val="7B587A84"/>
    <w:lvl w:ilvl="0" w:tplc="B7DE53FA">
      <w:start w:val="1"/>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B792060"/>
    <w:multiLevelType w:val="hybridMultilevel"/>
    <w:tmpl w:val="62D04D2A"/>
    <w:lvl w:ilvl="0" w:tplc="8B34D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45470">
    <w:abstractNumId w:val="2"/>
  </w:num>
  <w:num w:numId="2" w16cid:durableId="973680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5436">
    <w:abstractNumId w:val="5"/>
  </w:num>
  <w:num w:numId="4" w16cid:durableId="546917362">
    <w:abstractNumId w:val="3"/>
  </w:num>
  <w:num w:numId="5" w16cid:durableId="1372608657">
    <w:abstractNumId w:val="1"/>
  </w:num>
  <w:num w:numId="6" w16cid:durableId="2051369652">
    <w:abstractNumId w:val="0"/>
  </w:num>
  <w:num w:numId="7" w16cid:durableId="1116100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22"/>
    <w:rsid w:val="00016522"/>
    <w:rsid w:val="00066579"/>
    <w:rsid w:val="000717E3"/>
    <w:rsid w:val="000A6BC7"/>
    <w:rsid w:val="001652BB"/>
    <w:rsid w:val="001730EB"/>
    <w:rsid w:val="00181389"/>
    <w:rsid w:val="001F1502"/>
    <w:rsid w:val="002234BF"/>
    <w:rsid w:val="00284F00"/>
    <w:rsid w:val="00297D33"/>
    <w:rsid w:val="002D1F2E"/>
    <w:rsid w:val="003B4093"/>
    <w:rsid w:val="003C414F"/>
    <w:rsid w:val="003D359F"/>
    <w:rsid w:val="004A70CD"/>
    <w:rsid w:val="004E30DD"/>
    <w:rsid w:val="004F3D09"/>
    <w:rsid w:val="004F6350"/>
    <w:rsid w:val="005D77EC"/>
    <w:rsid w:val="005E6B06"/>
    <w:rsid w:val="006C7284"/>
    <w:rsid w:val="00720D16"/>
    <w:rsid w:val="007B3850"/>
    <w:rsid w:val="008821BD"/>
    <w:rsid w:val="00913419"/>
    <w:rsid w:val="009F1B03"/>
    <w:rsid w:val="00A01F51"/>
    <w:rsid w:val="00A03C92"/>
    <w:rsid w:val="00A10CB8"/>
    <w:rsid w:val="00AA32A7"/>
    <w:rsid w:val="00AD4A36"/>
    <w:rsid w:val="00B95060"/>
    <w:rsid w:val="00BB5119"/>
    <w:rsid w:val="00C0002F"/>
    <w:rsid w:val="00C20AAE"/>
    <w:rsid w:val="00C25CAE"/>
    <w:rsid w:val="00C52CBD"/>
    <w:rsid w:val="00CA4F72"/>
    <w:rsid w:val="00CB7784"/>
    <w:rsid w:val="00DC0BE1"/>
    <w:rsid w:val="00DC4555"/>
    <w:rsid w:val="00E75924"/>
    <w:rsid w:val="00F041BC"/>
    <w:rsid w:val="00F95ECF"/>
    <w:rsid w:val="00FD15D0"/>
    <w:rsid w:val="00FE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53EC"/>
  <w15:docId w15:val="{B93DB444-C934-9E4F-B1FB-A107C713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107"/>
      <w:ind w:left="1331" w:hanging="363"/>
    </w:pPr>
    <w:rPr>
      <w:rFonts w:ascii="Arial Black" w:eastAsia="Arial Black" w:hAnsi="Arial Black" w:cs="Arial Black"/>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5D0"/>
    <w:pPr>
      <w:tabs>
        <w:tab w:val="center" w:pos="4680"/>
        <w:tab w:val="right" w:pos="9360"/>
      </w:tabs>
    </w:pPr>
  </w:style>
  <w:style w:type="character" w:customStyle="1" w:styleId="HeaderChar">
    <w:name w:val="Header Char"/>
    <w:basedOn w:val="DefaultParagraphFont"/>
    <w:link w:val="Header"/>
    <w:uiPriority w:val="99"/>
    <w:rsid w:val="00FD15D0"/>
    <w:rPr>
      <w:rFonts w:ascii="Arial" w:eastAsia="Arial" w:hAnsi="Arial" w:cs="Arial"/>
    </w:rPr>
  </w:style>
  <w:style w:type="paragraph" w:styleId="Footer">
    <w:name w:val="footer"/>
    <w:basedOn w:val="Normal"/>
    <w:link w:val="FooterChar"/>
    <w:uiPriority w:val="99"/>
    <w:unhideWhenUsed/>
    <w:rsid w:val="00FD15D0"/>
    <w:pPr>
      <w:tabs>
        <w:tab w:val="center" w:pos="4680"/>
        <w:tab w:val="right" w:pos="9360"/>
      </w:tabs>
    </w:pPr>
  </w:style>
  <w:style w:type="character" w:customStyle="1" w:styleId="FooterChar">
    <w:name w:val="Footer Char"/>
    <w:basedOn w:val="DefaultParagraphFont"/>
    <w:link w:val="Footer"/>
    <w:uiPriority w:val="99"/>
    <w:rsid w:val="00FD15D0"/>
    <w:rPr>
      <w:rFonts w:ascii="Arial" w:eastAsia="Arial" w:hAnsi="Arial" w:cs="Arial"/>
    </w:rPr>
  </w:style>
  <w:style w:type="paragraph" w:styleId="NoSpacing">
    <w:name w:val="No Spacing"/>
    <w:uiPriority w:val="1"/>
    <w:qFormat/>
    <w:rsid w:val="004A70CD"/>
    <w:pPr>
      <w:widowControl/>
      <w:autoSpaceDE/>
      <w:autoSpaceDN/>
    </w:pPr>
    <w:rPr>
      <w:rFonts w:ascii="Calibri" w:eastAsia="Times New Roman" w:hAnsi="Calibri" w:cs="Times New Roman"/>
    </w:rPr>
  </w:style>
  <w:style w:type="character" w:styleId="Hyperlink">
    <w:name w:val="Hyperlink"/>
    <w:basedOn w:val="DefaultParagraphFont"/>
    <w:uiPriority w:val="99"/>
    <w:unhideWhenUsed/>
    <w:rsid w:val="00C25CAE"/>
    <w:rPr>
      <w:color w:val="0000FF" w:themeColor="hyperlink"/>
      <w:u w:val="single"/>
    </w:rPr>
  </w:style>
  <w:style w:type="character" w:styleId="UnresolvedMention">
    <w:name w:val="Unresolved Mention"/>
    <w:basedOn w:val="DefaultParagraphFont"/>
    <w:uiPriority w:val="99"/>
    <w:semiHidden/>
    <w:unhideWhenUsed/>
    <w:rsid w:val="00C2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ofgoldhi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ityofgoldhi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DC0E7FA286B4B8046F024A48BEF91" ma:contentTypeVersion="6" ma:contentTypeDescription="Create a new document." ma:contentTypeScope="" ma:versionID="234a82cee77727e41f4fa8db7062c490">
  <xsd:schema xmlns:xsd="http://www.w3.org/2001/XMLSchema" xmlns:xs="http://www.w3.org/2001/XMLSchema" xmlns:p="http://schemas.microsoft.com/office/2006/metadata/properties" xmlns:ns3="bd4e314c-08c5-4237-8fd8-1458c04f6fa0" xmlns:ns4="548084f9-b4fb-44b9-91df-9850aeac020e" targetNamespace="http://schemas.microsoft.com/office/2006/metadata/properties" ma:root="true" ma:fieldsID="907609250f79003009436a4f4d5762b5" ns3:_="" ns4:_="">
    <xsd:import namespace="bd4e314c-08c5-4237-8fd8-1458c04f6fa0"/>
    <xsd:import namespace="548084f9-b4fb-44b9-91df-9850aeac020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e314c-08c5-4237-8fd8-1458c04f6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084f9-b4fb-44b9-91df-9850aeac0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4e314c-08c5-4237-8fd8-1458c04f6fa0" xsi:nil="true"/>
  </documentManagement>
</p:properties>
</file>

<file path=customXml/itemProps1.xml><?xml version="1.0" encoding="utf-8"?>
<ds:datastoreItem xmlns:ds="http://schemas.openxmlformats.org/officeDocument/2006/customXml" ds:itemID="{AD228FF1-1D2C-4903-AA6F-7C88E530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e314c-08c5-4237-8fd8-1458c04f6fa0"/>
    <ds:schemaRef ds:uri="548084f9-b4fb-44b9-91df-9850aeac0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2D055-D335-4C3F-996E-8839315A7522}">
  <ds:schemaRefs>
    <ds:schemaRef ds:uri="http://schemas.microsoft.com/sharepoint/v3/contenttype/forms"/>
  </ds:schemaRefs>
</ds:datastoreItem>
</file>

<file path=customXml/itemProps3.xml><?xml version="1.0" encoding="utf-8"?>
<ds:datastoreItem xmlns:ds="http://schemas.openxmlformats.org/officeDocument/2006/customXml" ds:itemID="{F0952E91-4692-4BB9-B697-9D5F2B477380}">
  <ds:schemaRefs>
    <ds:schemaRef ds:uri="http://schemas.microsoft.com/office/2006/metadata/properties"/>
    <ds:schemaRef ds:uri="http://schemas.microsoft.com/office/infopath/2007/PartnerControls"/>
    <ds:schemaRef ds:uri="bd4e314c-08c5-4237-8fd8-1458c04f6fa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CityManager</dc:creator>
  <cp:lastModifiedBy>Adam Hanks</cp:lastModifiedBy>
  <cp:revision>2</cp:revision>
  <cp:lastPrinted>2023-05-10T20:23:00Z</cp:lastPrinted>
  <dcterms:created xsi:type="dcterms:W3CDTF">2023-05-25T21:37:00Z</dcterms:created>
  <dcterms:modified xsi:type="dcterms:W3CDTF">2023-05-25T21:37:00Z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2023-02-27T00:00:00Z</vt:filetime>
  </property>
  <property fmtid="{D5CDD505-2E9C-101B-9397-08002B2CF9AE}" pid="5" name="Producer">
    <vt:lpwstr>Microsoft® Word for Microsoft 365</vt:lpwstr>
  </property>
  <property fmtid="{D5CDD505-2E9C-101B-9397-08002B2CF9AE}" pid="6" name="ContentTypeId">
    <vt:lpwstr>0x0101005B0DC0E7FA286B4B8046F024A48BEF91</vt:lpwstr>
  </property>
</Properties>
</file>